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948B" w14:textId="77777777" w:rsidR="00846179" w:rsidRDefault="00846179" w:rsidP="00846179">
      <w:pPr>
        <w:pStyle w:val="a9"/>
        <w:spacing w:after="160" w:line="259" w:lineRule="auto"/>
        <w:ind w:left="284"/>
        <w:jc w:val="center"/>
        <w:rPr>
          <w:b/>
          <w:bCs/>
          <w:color w:val="000000"/>
          <w:sz w:val="30"/>
          <w:szCs w:val="30"/>
          <w:shd w:val="clear" w:color="auto" w:fill="FFFFFF"/>
        </w:rPr>
      </w:pPr>
      <w:r w:rsidRPr="003D1BDF">
        <w:rPr>
          <w:b/>
          <w:bCs/>
          <w:color w:val="000000"/>
          <w:sz w:val="30"/>
          <w:szCs w:val="30"/>
          <w:shd w:val="clear" w:color="auto" w:fill="FFFFFF"/>
        </w:rPr>
        <w:t>Тематика выпускной работы</w:t>
      </w:r>
      <w:r w:rsidR="004A44D4">
        <w:rPr>
          <w:b/>
          <w:bCs/>
          <w:color w:val="000000"/>
          <w:sz w:val="30"/>
          <w:szCs w:val="30"/>
          <w:shd w:val="clear" w:color="auto" w:fill="FFFFFF"/>
        </w:rPr>
        <w:t xml:space="preserve"> повышения квалификации учителей истории, обществоведения учреждений образования </w:t>
      </w:r>
    </w:p>
    <w:p w14:paraId="5C189E8B" w14:textId="77777777" w:rsidR="004A44D4" w:rsidRPr="003D1BDF" w:rsidRDefault="004A44D4" w:rsidP="00846179">
      <w:pPr>
        <w:pStyle w:val="a9"/>
        <w:spacing w:after="160" w:line="259" w:lineRule="auto"/>
        <w:ind w:left="284"/>
        <w:jc w:val="center"/>
        <w:rPr>
          <w:b/>
          <w:sz w:val="30"/>
          <w:szCs w:val="30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>«Проектирование и реализация образовательного процесса с одаренными и высокомотивированными обучающимися»</w:t>
      </w:r>
    </w:p>
    <w:p w14:paraId="3787299E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Навыки и компетенции ХХI века в школьном образовании.</w:t>
      </w:r>
    </w:p>
    <w:p w14:paraId="5754542F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Образование будущего: принципы и тренды.</w:t>
      </w:r>
    </w:p>
    <w:p w14:paraId="592E7B58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Система работы с одаренными детьми.</w:t>
      </w:r>
    </w:p>
    <w:p w14:paraId="673ECADD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Теоретические основания проектирования и реализация образовательного процесса с высокомотивированными и одаренными учащимися.</w:t>
      </w:r>
    </w:p>
    <w:p w14:paraId="6EF96FB3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rFonts w:ascii="Roboto" w:hAnsi="Roboto"/>
          <w:sz w:val="30"/>
          <w:szCs w:val="30"/>
        </w:rPr>
        <w:t>Исследовательская и проектная деятельность учащихся как эффективная образовательная технология.</w:t>
      </w:r>
    </w:p>
    <w:p w14:paraId="723F2A0C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Требования к личности и профессиональной компетентности педагогов для работы с высокомотивированными и одаренными учащимися.</w:t>
      </w:r>
    </w:p>
    <w:p w14:paraId="7C3D10A8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iCs/>
          <w:sz w:val="30"/>
          <w:szCs w:val="30"/>
        </w:rPr>
        <w:t>Проблемы одаренных детей в образовательном процессе.</w:t>
      </w:r>
    </w:p>
    <w:p w14:paraId="4DB4F870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Учебная исследовательская деятельность школьников.</w:t>
      </w:r>
    </w:p>
    <w:p w14:paraId="32ABC0D2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Мотивация исследовательской деятельности учащихся.</w:t>
      </w:r>
    </w:p>
    <w:p w14:paraId="021113DB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Методология и методы исследования в исторических дисциплинах.</w:t>
      </w:r>
    </w:p>
    <w:p w14:paraId="64336AAF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Методология и методы исследования в обществоведческих дисциплинах.</w:t>
      </w:r>
    </w:p>
    <w:p w14:paraId="2390A946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rPr>
          <w:sz w:val="30"/>
          <w:szCs w:val="30"/>
        </w:rPr>
      </w:pPr>
      <w:r w:rsidRPr="003D1BDF">
        <w:rPr>
          <w:sz w:val="30"/>
          <w:szCs w:val="30"/>
        </w:rPr>
        <w:t>Исследовательская деятельность как образовательная технология.</w:t>
      </w:r>
    </w:p>
    <w:p w14:paraId="7FBAA9E8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Использование инновационных технологий в образовательном процессе, способствующих формированию исследовательских навыков.</w:t>
      </w:r>
    </w:p>
    <w:p w14:paraId="3715346D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Методы развития проектно-исследовательских способностей учащихся.</w:t>
      </w:r>
    </w:p>
    <w:p w14:paraId="4388F8EA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Организация исследовательской работы на учебных занятиях по истории и обществоведению.</w:t>
      </w:r>
    </w:p>
    <w:p w14:paraId="78C1EF23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Использование компьютерных технологий на уроках истории (обществоведения) с целью активизации исследовательских способностей учащихся.</w:t>
      </w:r>
    </w:p>
    <w:p w14:paraId="43001284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Краеведение как средство приобретения учащимися исторических знаний.</w:t>
      </w:r>
    </w:p>
    <w:p w14:paraId="74D33515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Образовательные технологии обучения высокомотивированных и одаренных учащихся.</w:t>
      </w:r>
    </w:p>
    <w:p w14:paraId="65A84C61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Контрольно-оценочная деятельность педагога при работе с высокомотивированными и одаренными учащимися.</w:t>
      </w:r>
    </w:p>
    <w:p w14:paraId="048718DB" w14:textId="77777777" w:rsidR="00846179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lastRenderedPageBreak/>
        <w:t xml:space="preserve">Современные подходы к организации работы с одаренными и высокомотивированными детьми. </w:t>
      </w:r>
    </w:p>
    <w:p w14:paraId="4DD14773" w14:textId="77777777" w:rsidR="00846179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20700E">
        <w:rPr>
          <w:sz w:val="30"/>
          <w:szCs w:val="30"/>
        </w:rPr>
        <w:t>Педагогические технол</w:t>
      </w:r>
      <w:r>
        <w:rPr>
          <w:sz w:val="30"/>
          <w:szCs w:val="30"/>
        </w:rPr>
        <w:t>огии работы с одаренными детьми.</w:t>
      </w:r>
    </w:p>
    <w:p w14:paraId="70AEE1F6" w14:textId="77777777" w:rsidR="00846179" w:rsidRPr="0020700E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20700E">
        <w:rPr>
          <w:sz w:val="30"/>
          <w:szCs w:val="30"/>
        </w:rPr>
        <w:t xml:space="preserve">Создание условий для развития </w:t>
      </w:r>
      <w:r>
        <w:rPr>
          <w:sz w:val="30"/>
          <w:szCs w:val="30"/>
        </w:rPr>
        <w:t xml:space="preserve">исследовательских способностей </w:t>
      </w:r>
      <w:r w:rsidRPr="0020700E">
        <w:rPr>
          <w:sz w:val="30"/>
          <w:szCs w:val="30"/>
        </w:rPr>
        <w:t>обучающихся на уроках истории и обществоведения.</w:t>
      </w:r>
    </w:p>
    <w:p w14:paraId="001F9CBF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  <w:shd w:val="clear" w:color="auto" w:fill="FFFFFF"/>
        </w:rPr>
        <w:t>Развитие одарённой личности – одно из направлений государственной образовательной политики Республики Беларусь.</w:t>
      </w:r>
    </w:p>
    <w:p w14:paraId="57CD00F6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Учебно-методический инструментарий для развития одарённости и таланта: особенности применения.</w:t>
      </w:r>
    </w:p>
    <w:p w14:paraId="6EAAB256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Особенности педагогического взаимодействия с одарёнными и талантливыми учащимися.</w:t>
      </w:r>
    </w:p>
    <w:p w14:paraId="258874B8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Технологии обучения одарённых детей.</w:t>
      </w:r>
    </w:p>
    <w:p w14:paraId="7EF28AD6" w14:textId="77777777" w:rsidR="00846179" w:rsidRPr="003D1BDF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</w:rPr>
        <w:t>Технологии воспитания одарённых детей.</w:t>
      </w:r>
    </w:p>
    <w:p w14:paraId="39C52556" w14:textId="77777777" w:rsidR="00846179" w:rsidRPr="00883146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3D1BDF">
        <w:rPr>
          <w:sz w:val="30"/>
          <w:szCs w:val="30"/>
          <w:shd w:val="clear" w:color="auto" w:fill="FFFFFF"/>
        </w:rPr>
        <w:t>Педагогический опыт работы с одарёнными детьми в Республике Беларусь.</w:t>
      </w:r>
    </w:p>
    <w:p w14:paraId="5B3615CE" w14:textId="77777777" w:rsidR="00846179" w:rsidRPr="00883146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883146">
        <w:rPr>
          <w:sz w:val="30"/>
          <w:szCs w:val="30"/>
          <w:shd w:val="clear" w:color="auto" w:fill="FFFFFF"/>
        </w:rPr>
        <w:t>Внешкольная форма организации работы с одарёнными детьми.</w:t>
      </w:r>
    </w:p>
    <w:p w14:paraId="44EF5734" w14:textId="77777777" w:rsidR="00846179" w:rsidRPr="00883146" w:rsidRDefault="00846179" w:rsidP="00846179">
      <w:pPr>
        <w:pStyle w:val="a9"/>
        <w:numPr>
          <w:ilvl w:val="0"/>
          <w:numId w:val="1"/>
        </w:numPr>
        <w:spacing w:after="160" w:line="259" w:lineRule="auto"/>
        <w:ind w:left="284" w:hanging="284"/>
        <w:jc w:val="both"/>
        <w:rPr>
          <w:sz w:val="30"/>
          <w:szCs w:val="30"/>
        </w:rPr>
      </w:pPr>
      <w:r w:rsidRPr="00883146">
        <w:rPr>
          <w:sz w:val="30"/>
          <w:szCs w:val="30"/>
          <w:shd w:val="clear" w:color="auto" w:fill="FFFFFF"/>
        </w:rPr>
        <w:t>Формы и методы работы с одарёнными и высокомотивированными детьми.</w:t>
      </w:r>
    </w:p>
    <w:p w14:paraId="2CF137CA" w14:textId="77777777" w:rsidR="00846179" w:rsidRPr="003D1BDF" w:rsidRDefault="00846179" w:rsidP="00846179">
      <w:pPr>
        <w:pStyle w:val="a9"/>
        <w:spacing w:after="160" w:line="259" w:lineRule="auto"/>
        <w:ind w:left="284"/>
        <w:jc w:val="both"/>
        <w:rPr>
          <w:sz w:val="30"/>
          <w:szCs w:val="30"/>
        </w:rPr>
      </w:pPr>
    </w:p>
    <w:p w14:paraId="3CF60851" w14:textId="77777777" w:rsidR="00400873" w:rsidRDefault="00400873"/>
    <w:sectPr w:rsidR="004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18FC"/>
    <w:multiLevelType w:val="hybridMultilevel"/>
    <w:tmpl w:val="0F9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79"/>
    <w:rsid w:val="00400873"/>
    <w:rsid w:val="00451072"/>
    <w:rsid w:val="004A44D4"/>
    <w:rsid w:val="00846179"/>
    <w:rsid w:val="00A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5CC3"/>
  <w15:docId w15:val="{197AA06B-C8A7-4B52-83E5-0AD59B6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846179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</cp:lastModifiedBy>
  <cp:revision>2</cp:revision>
  <dcterms:created xsi:type="dcterms:W3CDTF">2023-10-05T07:47:00Z</dcterms:created>
  <dcterms:modified xsi:type="dcterms:W3CDTF">2023-10-05T07:47:00Z</dcterms:modified>
</cp:coreProperties>
</file>